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D6A02B" w14:textId="6BD363BA" w:rsidR="00C30B46" w:rsidRPr="00952C4E" w:rsidRDefault="00B70D0A" w:rsidP="000E57A1">
      <w:pPr>
        <w:rPr>
          <w:color w:val="000000" w:themeColor="text1"/>
          <w:sz w:val="40"/>
          <w:szCs w:val="40"/>
        </w:rPr>
      </w:pPr>
      <w:r w:rsidRPr="00B125D1">
        <w:rPr>
          <w:color w:val="000000" w:themeColor="text1"/>
          <w:sz w:val="20"/>
          <w:szCs w:val="20"/>
        </w:rPr>
        <w:t xml:space="preserve"> </w:t>
      </w:r>
      <w:r w:rsidR="00A71F9F" w:rsidRPr="00B125D1">
        <w:rPr>
          <w:b/>
          <w:bCs/>
          <w:color w:val="000000" w:themeColor="text1"/>
          <w:sz w:val="20"/>
          <w:szCs w:val="20"/>
          <w:u w:val="single"/>
        </w:rPr>
        <w:t>TASK 6 PART 1</w:t>
      </w:r>
      <w:r w:rsidR="00A71F9F">
        <w:rPr>
          <w:color w:val="000000" w:themeColor="text1"/>
          <w:sz w:val="40"/>
          <w:szCs w:val="40"/>
        </w:rPr>
        <w:t xml:space="preserve">                               </w:t>
      </w:r>
      <w:r w:rsidRPr="00952C4E">
        <w:rPr>
          <w:color w:val="000000" w:themeColor="text1"/>
          <w:sz w:val="40"/>
          <w:szCs w:val="40"/>
        </w:rPr>
        <w:t>REPORT</w:t>
      </w:r>
    </w:p>
    <w:tbl>
      <w:tblPr>
        <w:tblStyle w:val="PlainTable3"/>
        <w:tblpPr w:leftFromText="180" w:rightFromText="180" w:vertAnchor="text" w:horzAnchor="margin" w:tblpXSpec="center" w:tblpY="882"/>
        <w:tblW w:w="10117" w:type="dxa"/>
        <w:tblLook w:val="04A0" w:firstRow="1" w:lastRow="0" w:firstColumn="1" w:lastColumn="0" w:noHBand="0" w:noVBand="1"/>
      </w:tblPr>
      <w:tblGrid>
        <w:gridCol w:w="1280"/>
        <w:gridCol w:w="1489"/>
        <w:gridCol w:w="1491"/>
        <w:gridCol w:w="1491"/>
        <w:gridCol w:w="1441"/>
        <w:gridCol w:w="1413"/>
        <w:gridCol w:w="1512"/>
      </w:tblGrid>
      <w:tr w:rsidR="000E57A1" w14:paraId="2B41425D" w14:textId="77777777" w:rsidTr="00446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80" w:type="dxa"/>
          </w:tcPr>
          <w:p w14:paraId="033AA886" w14:textId="77777777" w:rsidR="00B70D0A" w:rsidRPr="00454D8B" w:rsidRDefault="00B70D0A" w:rsidP="00952C4E">
            <w:pPr>
              <w:rPr>
                <w:color w:val="FFFFFF" w:themeColor="background1"/>
              </w:rPr>
            </w:pPr>
          </w:p>
        </w:tc>
        <w:tc>
          <w:tcPr>
            <w:tcW w:w="1489" w:type="dxa"/>
          </w:tcPr>
          <w:p w14:paraId="7C5FBF5E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A</w:t>
            </w:r>
          </w:p>
        </w:tc>
        <w:tc>
          <w:tcPr>
            <w:tcW w:w="1491" w:type="dxa"/>
          </w:tcPr>
          <w:p w14:paraId="003D7D2E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B</w:t>
            </w:r>
          </w:p>
        </w:tc>
        <w:tc>
          <w:tcPr>
            <w:tcW w:w="1491" w:type="dxa"/>
          </w:tcPr>
          <w:p w14:paraId="51F7F3D9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C</w:t>
            </w:r>
          </w:p>
        </w:tc>
        <w:tc>
          <w:tcPr>
            <w:tcW w:w="1441" w:type="dxa"/>
          </w:tcPr>
          <w:p w14:paraId="3052B722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D</w:t>
            </w:r>
          </w:p>
        </w:tc>
        <w:tc>
          <w:tcPr>
            <w:tcW w:w="1413" w:type="dxa"/>
          </w:tcPr>
          <w:p w14:paraId="70485968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E</w:t>
            </w:r>
          </w:p>
        </w:tc>
        <w:tc>
          <w:tcPr>
            <w:tcW w:w="1512" w:type="dxa"/>
          </w:tcPr>
          <w:p w14:paraId="229AE49E" w14:textId="77777777" w:rsidR="00B70D0A" w:rsidRPr="00952C4E" w:rsidRDefault="00B70D0A" w:rsidP="00952C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Investor F</w:t>
            </w:r>
          </w:p>
        </w:tc>
      </w:tr>
      <w:tr w:rsidR="00952C4E" w14:paraId="3FFC505D" w14:textId="77777777" w:rsidTr="00446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019BAFC6" w14:textId="77777777" w:rsidR="00B70D0A" w:rsidRPr="00952C4E" w:rsidRDefault="00B70D0A" w:rsidP="00952C4E">
            <w:pPr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Stocks in the portfolio</w:t>
            </w:r>
          </w:p>
        </w:tc>
        <w:tc>
          <w:tcPr>
            <w:tcW w:w="1489" w:type="dxa"/>
          </w:tcPr>
          <w:p w14:paraId="4CB2E511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HDFC</w:t>
            </w:r>
          </w:p>
        </w:tc>
        <w:tc>
          <w:tcPr>
            <w:tcW w:w="1491" w:type="dxa"/>
          </w:tcPr>
          <w:p w14:paraId="060AA87A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ONGC</w:t>
            </w:r>
          </w:p>
        </w:tc>
        <w:tc>
          <w:tcPr>
            <w:tcW w:w="1491" w:type="dxa"/>
          </w:tcPr>
          <w:p w14:paraId="61EE1374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SpiceJet</w:t>
            </w:r>
          </w:p>
        </w:tc>
        <w:tc>
          <w:tcPr>
            <w:tcW w:w="1441" w:type="dxa"/>
          </w:tcPr>
          <w:p w14:paraId="056D3FC2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HDFC and ONGC</w:t>
            </w:r>
          </w:p>
        </w:tc>
        <w:tc>
          <w:tcPr>
            <w:tcW w:w="1413" w:type="dxa"/>
          </w:tcPr>
          <w:p w14:paraId="4B339732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ONGC and SpiceJet</w:t>
            </w:r>
          </w:p>
        </w:tc>
        <w:tc>
          <w:tcPr>
            <w:tcW w:w="1512" w:type="dxa"/>
          </w:tcPr>
          <w:p w14:paraId="153C28F7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HDFC and SpiceJet</w:t>
            </w:r>
          </w:p>
        </w:tc>
      </w:tr>
      <w:tr w:rsidR="000E57A1" w14:paraId="067F24FC" w14:textId="77777777" w:rsidTr="00446094">
        <w:trPr>
          <w:trHeight w:val="8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4DA3E84F" w14:textId="77777777" w:rsidR="00B70D0A" w:rsidRPr="00952C4E" w:rsidRDefault="00B70D0A" w:rsidP="00952C4E">
            <w:pPr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Expected Return</w:t>
            </w:r>
          </w:p>
        </w:tc>
        <w:tc>
          <w:tcPr>
            <w:tcW w:w="1489" w:type="dxa"/>
          </w:tcPr>
          <w:p w14:paraId="24140773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0.000398669</w:t>
            </w:r>
          </w:p>
        </w:tc>
        <w:tc>
          <w:tcPr>
            <w:tcW w:w="1491" w:type="dxa"/>
          </w:tcPr>
          <w:p w14:paraId="2F6E9E12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0.001623683</w:t>
            </w:r>
          </w:p>
        </w:tc>
        <w:tc>
          <w:tcPr>
            <w:tcW w:w="1491" w:type="dxa"/>
          </w:tcPr>
          <w:p w14:paraId="41B2E378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-0.00175786</w:t>
            </w:r>
          </w:p>
        </w:tc>
        <w:tc>
          <w:tcPr>
            <w:tcW w:w="1441" w:type="dxa"/>
          </w:tcPr>
          <w:p w14:paraId="06CD3EA6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0.758667348</w:t>
            </w:r>
          </w:p>
        </w:tc>
        <w:tc>
          <w:tcPr>
            <w:tcW w:w="1413" w:type="dxa"/>
          </w:tcPr>
          <w:p w14:paraId="0AE927CC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0.04228193</w:t>
            </w:r>
          </w:p>
          <w:p w14:paraId="2DA86725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2" w:type="dxa"/>
          </w:tcPr>
          <w:p w14:paraId="3089CC76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2.035007373</w:t>
            </w:r>
          </w:p>
          <w:p w14:paraId="3175926D" w14:textId="77777777" w:rsidR="00B70D0A" w:rsidRPr="00952C4E" w:rsidRDefault="00B70D0A" w:rsidP="00952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952C4E" w14:paraId="08244859" w14:textId="77777777" w:rsidTr="00446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56BA92AA" w14:textId="77777777" w:rsidR="00B70D0A" w:rsidRPr="00952C4E" w:rsidRDefault="00B70D0A" w:rsidP="00952C4E">
            <w:pPr>
              <w:rPr>
                <w:color w:val="000000" w:themeColor="text1"/>
              </w:rPr>
            </w:pPr>
            <w:r w:rsidRPr="00952C4E">
              <w:rPr>
                <w:color w:val="000000" w:themeColor="text1"/>
              </w:rPr>
              <w:t>Variance on the return</w:t>
            </w:r>
          </w:p>
        </w:tc>
        <w:tc>
          <w:tcPr>
            <w:tcW w:w="1489" w:type="dxa"/>
          </w:tcPr>
          <w:p w14:paraId="4E9969A9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0.000263571</w:t>
            </w:r>
          </w:p>
        </w:tc>
        <w:tc>
          <w:tcPr>
            <w:tcW w:w="1491" w:type="dxa"/>
          </w:tcPr>
          <w:p w14:paraId="6E77536E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0.000543733</w:t>
            </w:r>
          </w:p>
          <w:p w14:paraId="72C89766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91" w:type="dxa"/>
          </w:tcPr>
          <w:p w14:paraId="14650863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0.000860743</w:t>
            </w:r>
          </w:p>
          <w:p w14:paraId="02FF79D6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41" w:type="dxa"/>
          </w:tcPr>
          <w:p w14:paraId="1DF1BF3E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647.2916361</w:t>
            </w:r>
          </w:p>
          <w:p w14:paraId="5E425F5A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413" w:type="dxa"/>
          </w:tcPr>
          <w:p w14:paraId="3350E885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18.2360443</w:t>
            </w:r>
          </w:p>
          <w:p w14:paraId="41F51494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12" w:type="dxa"/>
          </w:tcPr>
          <w:p w14:paraId="72233892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952C4E">
              <w:rPr>
                <w:rFonts w:ascii="Calibri" w:eastAsia="Times New Roman" w:hAnsi="Calibri" w:cs="Calibri"/>
                <w:color w:val="000000" w:themeColor="text1"/>
              </w:rPr>
              <w:t>0.000477717</w:t>
            </w:r>
          </w:p>
          <w:p w14:paraId="4C3E2BD4" w14:textId="77777777" w:rsidR="00B70D0A" w:rsidRPr="00952C4E" w:rsidRDefault="00B70D0A" w:rsidP="0095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3472888D" w14:textId="5E0AD14C" w:rsidR="00454D8B" w:rsidRPr="00446094" w:rsidRDefault="00B70D0A">
      <w:pPr>
        <w:rPr>
          <w:color w:val="000000" w:themeColor="text1"/>
          <w:sz w:val="24"/>
          <w:szCs w:val="24"/>
        </w:rPr>
      </w:pPr>
      <w:r w:rsidRPr="00446094">
        <w:rPr>
          <w:color w:val="000000" w:themeColor="text1"/>
          <w:sz w:val="24"/>
          <w:szCs w:val="24"/>
        </w:rPr>
        <w:t>Summary of the portfolio of investors A, B, C, D, E</w:t>
      </w:r>
      <w:r w:rsidR="00952C4E" w:rsidRPr="00446094">
        <w:rPr>
          <w:color w:val="000000" w:themeColor="text1"/>
          <w:sz w:val="24"/>
          <w:szCs w:val="24"/>
        </w:rPr>
        <w:t>,</w:t>
      </w:r>
      <w:r w:rsidRPr="00446094">
        <w:rPr>
          <w:color w:val="000000" w:themeColor="text1"/>
          <w:sz w:val="24"/>
          <w:szCs w:val="24"/>
        </w:rPr>
        <w:t xml:space="preserve"> AND F:</w:t>
      </w:r>
    </w:p>
    <w:p w14:paraId="2A8F1C2F" w14:textId="47B98D67" w:rsidR="00141F45" w:rsidRPr="00952C4E" w:rsidRDefault="0097392E">
      <w:pPr>
        <w:rPr>
          <w:color w:val="000000" w:themeColor="text1"/>
        </w:rPr>
      </w:pPr>
    </w:p>
    <w:p w14:paraId="099F1E4E" w14:textId="77777777" w:rsidR="00952C4E" w:rsidRDefault="00952C4E" w:rsidP="00A17BCB">
      <w:pPr>
        <w:rPr>
          <w:rFonts w:ascii="Calibri" w:eastAsia="Times New Roman" w:hAnsi="Calibri" w:cs="Calibri"/>
          <w:color w:val="000000" w:themeColor="text1"/>
        </w:rPr>
      </w:pPr>
    </w:p>
    <w:p w14:paraId="7A2AA99A" w14:textId="77777777" w:rsidR="00952C4E" w:rsidRDefault="00952C4E" w:rsidP="00A17BCB">
      <w:pPr>
        <w:rPr>
          <w:rFonts w:ascii="Calibri" w:eastAsia="Times New Roman" w:hAnsi="Calibri" w:cs="Calibri"/>
          <w:color w:val="000000" w:themeColor="text1"/>
        </w:rPr>
      </w:pPr>
    </w:p>
    <w:p w14:paraId="201F62BD" w14:textId="385A458B" w:rsidR="00C30B46" w:rsidRPr="00446094" w:rsidRDefault="003542C1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Three of the investors (A, B, C) have single-asset portfolios and the other three investors (D, E, F) have two-asset portfolios.</w:t>
      </w:r>
    </w:p>
    <w:p w14:paraId="274E74B6" w14:textId="77777777" w:rsidR="000E57A1" w:rsidRPr="00446094" w:rsidRDefault="00C30B46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It is visible </w:t>
      </w:r>
      <w:r w:rsidR="003542C1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from the data </w:t>
      </w: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that investor F has the highest expected return and the lowest variance on the return</w:t>
      </w:r>
      <w:r w:rsidR="000E57A1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(except A)</w:t>
      </w: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.</w:t>
      </w:r>
      <w:r w:rsidR="00D653E7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</w:p>
    <w:p w14:paraId="162AFEBA" w14:textId="757F14D0" w:rsidR="00C30B46" w:rsidRPr="00446094" w:rsidRDefault="00D653E7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Investor D has a higher expected return than all others except F, but the variance on the return is high.</w:t>
      </w:r>
    </w:p>
    <w:p w14:paraId="3C72DECC" w14:textId="6CDDEFCB" w:rsidR="00D653E7" w:rsidRPr="00446094" w:rsidRDefault="00D653E7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Investor E has a lower expected return than D but the variance on the return is also lower.</w:t>
      </w:r>
    </w:p>
    <w:p w14:paraId="18DC7AC6" w14:textId="778C559D" w:rsidR="00BC4BEB" w:rsidRPr="00446094" w:rsidRDefault="00BC4BEB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Investor C is expected to have a loss. Both expected return and variance on the return are higher for investor B than investor A.</w:t>
      </w:r>
    </w:p>
    <w:p w14:paraId="14F8C60E" w14:textId="26D2B83E" w:rsidR="00BC4BEB" w:rsidRPr="00446094" w:rsidRDefault="00BC4BEB" w:rsidP="000E57A1">
      <w:pPr>
        <w:spacing w:line="240" w:lineRule="auto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All the investors D, E and F have higher expected returns than investors A, B, and C.</w:t>
      </w:r>
    </w:p>
    <w:p w14:paraId="5EC3E8F1" w14:textId="0B257516" w:rsidR="00BC4BEB" w:rsidRPr="00446094" w:rsidRDefault="00BC4BEB" w:rsidP="00A17BCB">
      <w:p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As represented by the expected returns, it can be concluded that a single-asset portfolio has lower returns compared to a two-asset portfolio. Also investin</w:t>
      </w:r>
      <w:r w:rsidR="001D29C2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g in a single stock is riskier than investing in two or more risks. Also, the return per risk is also greater for two-asset portfolios than single-asset portfolios.</w:t>
      </w:r>
    </w:p>
    <w:p w14:paraId="3709917A" w14:textId="577EAFB5" w:rsidR="00446094" w:rsidRDefault="001D29C2" w:rsidP="00A17BCB">
      <w:p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Investor F has clearly benefitted from diversification</w:t>
      </w:r>
      <w:r w:rsidR="00E642BD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of his portfolio as we can infer from the data that he has the highest expected return with the lowest variance. Thus</w:t>
      </w:r>
      <w:r w:rsidR="003542C1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,</w:t>
      </w:r>
      <w:r w:rsidR="00E642BD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it is safe to conclude that diversified portfolios have reduced risk and higher long-term returns</w:t>
      </w:r>
      <w:r w:rsidR="003542C1"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than single-asset portfolios.</w:t>
      </w:r>
    </w:p>
    <w:p w14:paraId="32278793" w14:textId="77777777" w:rsidR="00446094" w:rsidRDefault="00446094">
      <w:p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br w:type="page"/>
      </w:r>
    </w:p>
    <w:p w14:paraId="5591DAAB" w14:textId="4714693F" w:rsidR="001D29C2" w:rsidRPr="00B125D1" w:rsidRDefault="00446094" w:rsidP="00A17BCB">
      <w:pPr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u w:val="single"/>
        </w:rPr>
      </w:pPr>
      <w:r w:rsidRPr="00B125D1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u w:val="single"/>
        </w:rPr>
        <w:lastRenderedPageBreak/>
        <w:t>TASK 6 PART 2</w:t>
      </w:r>
    </w:p>
    <w:p w14:paraId="4B1133FE" w14:textId="4D31329A" w:rsidR="00BC4BEB" w:rsidRPr="00446094" w:rsidRDefault="00446094" w:rsidP="00A17BCB">
      <w:p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446094">
        <w:rPr>
          <w:rFonts w:ascii="Calibri" w:eastAsia="Times New Roman" w:hAnsi="Calibri" w:cs="Calibri"/>
          <w:color w:val="000000" w:themeColor="text1"/>
          <w:sz w:val="24"/>
          <w:szCs w:val="24"/>
        </w:rPr>
        <w:t>All the tasks have been single-handedly done by me.</w:t>
      </w:r>
    </w:p>
    <w:p w14:paraId="3006208D" w14:textId="7D831708" w:rsidR="00A17BCB" w:rsidRPr="00952C4E" w:rsidRDefault="00A17BCB">
      <w:pPr>
        <w:rPr>
          <w:color w:val="000000" w:themeColor="text1"/>
        </w:rPr>
      </w:pPr>
    </w:p>
    <w:sectPr w:rsidR="00A17BCB" w:rsidRPr="00952C4E" w:rsidSect="00A71F9F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47B9" w14:textId="77777777" w:rsidR="0097392E" w:rsidRDefault="0097392E" w:rsidP="000E57A1">
      <w:pPr>
        <w:spacing w:after="0" w:line="240" w:lineRule="auto"/>
      </w:pPr>
      <w:r>
        <w:separator/>
      </w:r>
    </w:p>
  </w:endnote>
  <w:endnote w:type="continuationSeparator" w:id="0">
    <w:p w14:paraId="5FF7EFA7" w14:textId="77777777" w:rsidR="0097392E" w:rsidRDefault="0097392E" w:rsidP="000E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62B5" w14:textId="77777777" w:rsidR="0097392E" w:rsidRDefault="0097392E" w:rsidP="000E57A1">
      <w:pPr>
        <w:spacing w:after="0" w:line="240" w:lineRule="auto"/>
      </w:pPr>
      <w:r>
        <w:separator/>
      </w:r>
    </w:p>
  </w:footnote>
  <w:footnote w:type="continuationSeparator" w:id="0">
    <w:p w14:paraId="63F5CF35" w14:textId="77777777" w:rsidR="0097392E" w:rsidRDefault="0097392E" w:rsidP="000E5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readOnly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39"/>
    <w:rsid w:val="000E57A1"/>
    <w:rsid w:val="001D29C2"/>
    <w:rsid w:val="002B4427"/>
    <w:rsid w:val="003542C1"/>
    <w:rsid w:val="00385839"/>
    <w:rsid w:val="00446094"/>
    <w:rsid w:val="00454D8B"/>
    <w:rsid w:val="005100AA"/>
    <w:rsid w:val="00613F54"/>
    <w:rsid w:val="00660D49"/>
    <w:rsid w:val="00952C4E"/>
    <w:rsid w:val="0097392E"/>
    <w:rsid w:val="009E5BFD"/>
    <w:rsid w:val="00A17BCB"/>
    <w:rsid w:val="00A71F9F"/>
    <w:rsid w:val="00B125D1"/>
    <w:rsid w:val="00B70D0A"/>
    <w:rsid w:val="00BC4BEB"/>
    <w:rsid w:val="00C30B46"/>
    <w:rsid w:val="00D653E7"/>
    <w:rsid w:val="00D87984"/>
    <w:rsid w:val="00E6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32F84"/>
  <w15:chartTrackingRefBased/>
  <w15:docId w15:val="{AD8CD5E5-6A48-429B-A1B1-5FD7C552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952C4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952C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E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7A1"/>
  </w:style>
  <w:style w:type="paragraph" w:styleId="Footer">
    <w:name w:val="footer"/>
    <w:basedOn w:val="Normal"/>
    <w:link w:val="FooterChar"/>
    <w:uiPriority w:val="99"/>
    <w:unhideWhenUsed/>
    <w:rsid w:val="000E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FC663-F4E3-48B7-AE95-51B460CC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 VAISHNAVI</dc:creator>
  <cp:keywords/>
  <dc:description/>
  <cp:lastModifiedBy>V V VAISHNAVI</cp:lastModifiedBy>
  <cp:revision>3</cp:revision>
  <dcterms:created xsi:type="dcterms:W3CDTF">2021-12-24T16:10:00Z</dcterms:created>
  <dcterms:modified xsi:type="dcterms:W3CDTF">2021-12-24T16:10:00Z</dcterms:modified>
</cp:coreProperties>
</file>